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0E71D" w14:textId="652FEAFC" w:rsidR="0021703D" w:rsidRPr="00C870E5" w:rsidRDefault="00DC6F1B">
      <w:pPr>
        <w:jc w:val="center"/>
        <w:rPr>
          <w:b/>
          <w:sz w:val="26"/>
          <w:szCs w:val="26"/>
        </w:rPr>
      </w:pPr>
      <w:r>
        <w:rPr>
          <w:b/>
          <w:sz w:val="26"/>
          <w:szCs w:val="26"/>
        </w:rPr>
        <w:t xml:space="preserve">SB22-019: </w:t>
      </w:r>
      <w:r w:rsidR="004536D4" w:rsidRPr="00C870E5">
        <w:rPr>
          <w:b/>
          <w:sz w:val="26"/>
          <w:szCs w:val="26"/>
        </w:rPr>
        <w:t>Technical Clarification of Eviction Court Record Access</w:t>
      </w:r>
    </w:p>
    <w:p w14:paraId="21810FBC" w14:textId="46E48974" w:rsidR="00C870E5" w:rsidRPr="00C870E5" w:rsidRDefault="00C870E5">
      <w:pPr>
        <w:jc w:val="center"/>
        <w:rPr>
          <w:bCs/>
          <w:sz w:val="26"/>
          <w:szCs w:val="26"/>
        </w:rPr>
      </w:pPr>
      <w:r w:rsidRPr="00C870E5">
        <w:rPr>
          <w:bCs/>
          <w:sz w:val="26"/>
          <w:szCs w:val="26"/>
        </w:rPr>
        <w:t>Sponsored by Sen. Faith Winter</w:t>
      </w:r>
      <w:r w:rsidR="00BB1863">
        <w:rPr>
          <w:bCs/>
          <w:sz w:val="26"/>
          <w:szCs w:val="26"/>
        </w:rPr>
        <w:t xml:space="preserve"> and Rep. Steven Woodrow</w:t>
      </w:r>
    </w:p>
    <w:p w14:paraId="263F1D14" w14:textId="77777777" w:rsidR="0021703D" w:rsidRDefault="0021703D">
      <w:pPr>
        <w:jc w:val="center"/>
        <w:rPr>
          <w:b/>
          <w:sz w:val="28"/>
          <w:szCs w:val="28"/>
        </w:rPr>
      </w:pPr>
    </w:p>
    <w:p w14:paraId="5E4B3E10" w14:textId="1F53BFEC" w:rsidR="0021703D" w:rsidRDefault="004536D4">
      <w:pPr>
        <w:rPr>
          <w:sz w:val="24"/>
          <w:szCs w:val="24"/>
        </w:rPr>
      </w:pPr>
      <w:r>
        <w:rPr>
          <w:b/>
          <w:sz w:val="24"/>
          <w:szCs w:val="24"/>
        </w:rPr>
        <w:t xml:space="preserve">THE PROBLEM: </w:t>
      </w:r>
      <w:r>
        <w:rPr>
          <w:sz w:val="24"/>
          <w:szCs w:val="24"/>
        </w:rPr>
        <w:t xml:space="preserve">In 2020, the Colorado General Assembly passed </w:t>
      </w:r>
      <w:hyperlink r:id="rId7">
        <w:r>
          <w:rPr>
            <w:color w:val="1155CC"/>
            <w:sz w:val="24"/>
            <w:szCs w:val="24"/>
            <w:u w:val="single"/>
          </w:rPr>
          <w:t>HB20-1009</w:t>
        </w:r>
      </w:hyperlink>
      <w:r>
        <w:rPr>
          <w:sz w:val="24"/>
          <w:szCs w:val="24"/>
        </w:rPr>
        <w:t xml:space="preserve"> to limit public access to eviction filing records, so that an eviction </w:t>
      </w:r>
      <w:r>
        <w:rPr>
          <w:i/>
          <w:sz w:val="24"/>
          <w:szCs w:val="24"/>
        </w:rPr>
        <w:t>filing</w:t>
      </w:r>
      <w:r>
        <w:rPr>
          <w:sz w:val="24"/>
          <w:szCs w:val="24"/>
        </w:rPr>
        <w:t xml:space="preserve"> would not create a barrier to </w:t>
      </w:r>
      <w:r w:rsidR="00BB40F5">
        <w:rPr>
          <w:sz w:val="24"/>
          <w:szCs w:val="24"/>
        </w:rPr>
        <w:t xml:space="preserve">future </w:t>
      </w:r>
      <w:r>
        <w:rPr>
          <w:sz w:val="24"/>
          <w:szCs w:val="24"/>
        </w:rPr>
        <w:t xml:space="preserve">housing. The intended goal was to prevent third-party tenant screening companies from accessing and disclosing an eviction filing record as part of a background check. </w:t>
      </w:r>
    </w:p>
    <w:p w14:paraId="0798D5B1" w14:textId="77777777" w:rsidR="0021703D" w:rsidRDefault="0021703D">
      <w:pPr>
        <w:rPr>
          <w:sz w:val="24"/>
          <w:szCs w:val="24"/>
        </w:rPr>
      </w:pPr>
    </w:p>
    <w:p w14:paraId="0D4A8DAB" w14:textId="403131AA" w:rsidR="0021703D" w:rsidRDefault="004536D4">
      <w:pPr>
        <w:rPr>
          <w:sz w:val="24"/>
          <w:szCs w:val="24"/>
        </w:rPr>
      </w:pPr>
      <w:r>
        <w:rPr>
          <w:sz w:val="24"/>
          <w:szCs w:val="24"/>
        </w:rPr>
        <w:t>While this policy has proven helpful for many Coloradans, one unintended consequence is that it has prohibited attorneys, including legal aid providers</w:t>
      </w:r>
      <w:r w:rsidR="00BB40F5">
        <w:rPr>
          <w:sz w:val="24"/>
          <w:szCs w:val="24"/>
        </w:rPr>
        <w:t>, pro bono attorneys deciding whether to represent a client,</w:t>
      </w:r>
      <w:r>
        <w:rPr>
          <w:sz w:val="24"/>
          <w:szCs w:val="24"/>
        </w:rPr>
        <w:t xml:space="preserve"> and attorneys who work on behalf of landlords, from being able to access prospective clients’ court files unless they formally enter an appearance on behalf of the party. This has prevented attorneys from being able to offer legal assistance, and it has made it difficult to evaluate whether to take on a client in an eviction case. Although parties to a case can still pay for access to their records, many people do not have access to copiers, scanners, and printers, and thus, legal services providers have been constrained in </w:t>
      </w:r>
      <w:r w:rsidR="00BB40F5">
        <w:rPr>
          <w:sz w:val="24"/>
          <w:szCs w:val="24"/>
        </w:rPr>
        <w:t xml:space="preserve">assessing the merits of cases and </w:t>
      </w:r>
      <w:r>
        <w:rPr>
          <w:sz w:val="24"/>
          <w:szCs w:val="24"/>
        </w:rPr>
        <w:t>helping prospective clients.</w:t>
      </w:r>
    </w:p>
    <w:p w14:paraId="00298C9A" w14:textId="77777777" w:rsidR="0021703D" w:rsidRDefault="0021703D">
      <w:pPr>
        <w:rPr>
          <w:sz w:val="24"/>
          <w:szCs w:val="24"/>
        </w:rPr>
      </w:pPr>
    </w:p>
    <w:p w14:paraId="55039B41" w14:textId="77777777" w:rsidR="0021703D" w:rsidRDefault="0021703D">
      <w:pPr>
        <w:rPr>
          <w:b/>
          <w:sz w:val="24"/>
          <w:szCs w:val="24"/>
        </w:rPr>
      </w:pPr>
    </w:p>
    <w:p w14:paraId="0667E602" w14:textId="60BDEF4B" w:rsidR="0021703D" w:rsidRDefault="004536D4">
      <w:pPr>
        <w:rPr>
          <w:sz w:val="24"/>
          <w:szCs w:val="24"/>
        </w:rPr>
      </w:pPr>
      <w:r>
        <w:rPr>
          <w:b/>
          <w:sz w:val="24"/>
          <w:szCs w:val="24"/>
        </w:rPr>
        <w:t xml:space="preserve">THE SOLUTION: </w:t>
      </w:r>
      <w:r>
        <w:rPr>
          <w:sz w:val="24"/>
          <w:szCs w:val="24"/>
        </w:rPr>
        <w:t>To address this unintended consequence, Colorado’s eviction court record suppression statute (C.R.S. 13-40-110.5) should be amended to provide attorneys and support staff with access to an eviction court record if they affirm, in person or electronically:</w:t>
      </w:r>
    </w:p>
    <w:p w14:paraId="5AEF90F9" w14:textId="0D81FC52" w:rsidR="0021703D" w:rsidRDefault="004536D4">
      <w:pPr>
        <w:numPr>
          <w:ilvl w:val="0"/>
          <w:numId w:val="1"/>
        </w:numPr>
        <w:rPr>
          <w:sz w:val="24"/>
          <w:szCs w:val="24"/>
        </w:rPr>
      </w:pPr>
      <w:r>
        <w:rPr>
          <w:sz w:val="24"/>
          <w:szCs w:val="24"/>
        </w:rPr>
        <w:t>T</w:t>
      </w:r>
      <w:r w:rsidR="0025193E">
        <w:rPr>
          <w:sz w:val="24"/>
          <w:szCs w:val="24"/>
        </w:rPr>
        <w:t>hat t</w:t>
      </w:r>
      <w:r>
        <w:rPr>
          <w:sz w:val="24"/>
          <w:szCs w:val="24"/>
        </w:rPr>
        <w:t xml:space="preserve">hey are an attorney or acting on behalf of an </w:t>
      </w:r>
      <w:proofErr w:type="gramStart"/>
      <w:r>
        <w:rPr>
          <w:sz w:val="24"/>
          <w:szCs w:val="24"/>
        </w:rPr>
        <w:t>attorney;</w:t>
      </w:r>
      <w:proofErr w:type="gramEnd"/>
    </w:p>
    <w:p w14:paraId="33998DC7" w14:textId="77777777" w:rsidR="0021703D" w:rsidRDefault="004536D4">
      <w:pPr>
        <w:numPr>
          <w:ilvl w:val="0"/>
          <w:numId w:val="1"/>
        </w:numPr>
        <w:rPr>
          <w:sz w:val="24"/>
          <w:szCs w:val="24"/>
        </w:rPr>
      </w:pPr>
      <w:r>
        <w:rPr>
          <w:sz w:val="24"/>
          <w:szCs w:val="24"/>
        </w:rPr>
        <w:t xml:space="preserve">That a party to the case has given written or verbal permission for them to access the </w:t>
      </w:r>
      <w:proofErr w:type="gramStart"/>
      <w:r>
        <w:rPr>
          <w:sz w:val="24"/>
          <w:szCs w:val="24"/>
        </w:rPr>
        <w:t>record;</w:t>
      </w:r>
      <w:proofErr w:type="gramEnd"/>
    </w:p>
    <w:p w14:paraId="24E0E5A9" w14:textId="77777777" w:rsidR="0021703D" w:rsidRDefault="004536D4">
      <w:pPr>
        <w:numPr>
          <w:ilvl w:val="0"/>
          <w:numId w:val="1"/>
        </w:numPr>
        <w:rPr>
          <w:sz w:val="24"/>
          <w:szCs w:val="24"/>
        </w:rPr>
      </w:pPr>
      <w:r>
        <w:rPr>
          <w:sz w:val="24"/>
          <w:szCs w:val="24"/>
        </w:rPr>
        <w:t xml:space="preserve">That they are only accessing the record for the purpose of (1) providing legal advice, or (2) to evaluate whether to enter an appearance on behalf of a party, and </w:t>
      </w:r>
      <w:r>
        <w:rPr>
          <w:b/>
          <w:sz w:val="24"/>
          <w:szCs w:val="24"/>
        </w:rPr>
        <w:t xml:space="preserve">not </w:t>
      </w:r>
      <w:r>
        <w:rPr>
          <w:sz w:val="24"/>
          <w:szCs w:val="24"/>
        </w:rPr>
        <w:t>for other commercial purposes.</w:t>
      </w:r>
    </w:p>
    <w:p w14:paraId="62D73A1E" w14:textId="77777777" w:rsidR="0021703D" w:rsidRDefault="0021703D">
      <w:pPr>
        <w:rPr>
          <w:sz w:val="24"/>
          <w:szCs w:val="24"/>
        </w:rPr>
      </w:pPr>
    </w:p>
    <w:p w14:paraId="75DD73CD" w14:textId="192ADFFD" w:rsidR="0021703D" w:rsidRDefault="004536D4">
      <w:pPr>
        <w:rPr>
          <w:sz w:val="24"/>
          <w:szCs w:val="24"/>
        </w:rPr>
      </w:pPr>
      <w:r>
        <w:rPr>
          <w:sz w:val="24"/>
          <w:szCs w:val="24"/>
        </w:rPr>
        <w:t>This technical clarification will ensure that legal services providers can appropriately counsel prospective clients without undermining the policy goals of HB20-1009.</w:t>
      </w:r>
    </w:p>
    <w:p w14:paraId="1CDFB020" w14:textId="4C746C7A" w:rsidR="00C870E5" w:rsidRDefault="00C870E5">
      <w:pPr>
        <w:rPr>
          <w:sz w:val="24"/>
          <w:szCs w:val="24"/>
        </w:rPr>
      </w:pPr>
    </w:p>
    <w:p w14:paraId="29726EA5" w14:textId="260B801E" w:rsidR="00C870E5" w:rsidRDefault="00C870E5">
      <w:pPr>
        <w:rPr>
          <w:sz w:val="24"/>
          <w:szCs w:val="24"/>
        </w:rPr>
      </w:pPr>
    </w:p>
    <w:p w14:paraId="0D111D03" w14:textId="77777777" w:rsidR="00BB1863" w:rsidRDefault="00BB1863" w:rsidP="00BB1863">
      <w:pPr>
        <w:rPr>
          <w:sz w:val="24"/>
          <w:szCs w:val="24"/>
        </w:rPr>
      </w:pPr>
    </w:p>
    <w:p w14:paraId="5E6EC259" w14:textId="487A0B52" w:rsidR="00C870E5" w:rsidRDefault="00C870E5" w:rsidP="00BB1863">
      <w:pPr>
        <w:jc w:val="center"/>
        <w:rPr>
          <w:b/>
          <w:bCs/>
          <w:sz w:val="24"/>
          <w:szCs w:val="24"/>
        </w:rPr>
      </w:pPr>
      <w:r>
        <w:rPr>
          <w:b/>
          <w:bCs/>
          <w:sz w:val="24"/>
          <w:szCs w:val="24"/>
        </w:rPr>
        <w:lastRenderedPageBreak/>
        <w:t xml:space="preserve">Support for </w:t>
      </w:r>
      <w:r w:rsidR="00DC6F1B">
        <w:rPr>
          <w:b/>
          <w:bCs/>
          <w:sz w:val="24"/>
          <w:szCs w:val="24"/>
        </w:rPr>
        <w:t>S</w:t>
      </w:r>
      <w:r>
        <w:rPr>
          <w:b/>
          <w:bCs/>
          <w:sz w:val="24"/>
          <w:szCs w:val="24"/>
        </w:rPr>
        <w:t>B22-</w:t>
      </w:r>
      <w:r w:rsidR="00DC6F1B">
        <w:rPr>
          <w:b/>
          <w:bCs/>
          <w:sz w:val="24"/>
          <w:szCs w:val="24"/>
        </w:rPr>
        <w:t>019</w:t>
      </w:r>
    </w:p>
    <w:p w14:paraId="258F7FBC" w14:textId="0D24205F" w:rsidR="00C870E5" w:rsidRDefault="00C870E5" w:rsidP="00C870E5">
      <w:pPr>
        <w:jc w:val="center"/>
        <w:rPr>
          <w:b/>
          <w:bCs/>
          <w:sz w:val="24"/>
          <w:szCs w:val="24"/>
        </w:rPr>
      </w:pPr>
    </w:p>
    <w:p w14:paraId="69723131" w14:textId="35707062" w:rsidR="0050266E" w:rsidRDefault="0050266E" w:rsidP="00C870E5">
      <w:pPr>
        <w:rPr>
          <w:sz w:val="24"/>
          <w:szCs w:val="24"/>
        </w:rPr>
      </w:pPr>
      <w:r>
        <w:rPr>
          <w:sz w:val="24"/>
          <w:szCs w:val="24"/>
        </w:rPr>
        <w:t>All Families Deserve a Chance Coalition</w:t>
      </w:r>
    </w:p>
    <w:p w14:paraId="230D4D00" w14:textId="470A191C" w:rsidR="00C870E5" w:rsidRDefault="00C870E5" w:rsidP="00C870E5">
      <w:pPr>
        <w:rPr>
          <w:sz w:val="24"/>
          <w:szCs w:val="24"/>
        </w:rPr>
      </w:pPr>
      <w:r>
        <w:rPr>
          <w:sz w:val="24"/>
          <w:szCs w:val="24"/>
        </w:rPr>
        <w:t>Clayton Early Learning</w:t>
      </w:r>
    </w:p>
    <w:p w14:paraId="4006EBC0" w14:textId="02E896BA" w:rsidR="00C870E5" w:rsidRDefault="00C870E5" w:rsidP="00C870E5">
      <w:pPr>
        <w:rPr>
          <w:sz w:val="24"/>
          <w:szCs w:val="24"/>
        </w:rPr>
      </w:pPr>
      <w:r>
        <w:rPr>
          <w:sz w:val="24"/>
          <w:szCs w:val="24"/>
        </w:rPr>
        <w:t>Colorado Coalition for the Homeless</w:t>
      </w:r>
    </w:p>
    <w:p w14:paraId="78836042" w14:textId="01D50374" w:rsidR="00C870E5" w:rsidRDefault="00C870E5" w:rsidP="00C870E5">
      <w:pPr>
        <w:rPr>
          <w:sz w:val="24"/>
          <w:szCs w:val="24"/>
        </w:rPr>
      </w:pPr>
      <w:r>
        <w:rPr>
          <w:sz w:val="24"/>
          <w:szCs w:val="24"/>
        </w:rPr>
        <w:t>Colorado Cross Disability Coalition</w:t>
      </w:r>
    </w:p>
    <w:p w14:paraId="63F231EF" w14:textId="5921D9BC" w:rsidR="002B5C88" w:rsidRDefault="002B5C88" w:rsidP="00C870E5">
      <w:pPr>
        <w:rPr>
          <w:sz w:val="24"/>
          <w:szCs w:val="24"/>
        </w:rPr>
      </w:pPr>
      <w:r>
        <w:rPr>
          <w:sz w:val="24"/>
          <w:szCs w:val="24"/>
        </w:rPr>
        <w:t>Colorado Eviction Defense Project</w:t>
      </w:r>
    </w:p>
    <w:p w14:paraId="3DFAA485" w14:textId="07B5F4C9" w:rsidR="00C870E5" w:rsidRDefault="00C870E5" w:rsidP="00C870E5">
      <w:pPr>
        <w:rPr>
          <w:sz w:val="24"/>
          <w:szCs w:val="24"/>
        </w:rPr>
      </w:pPr>
      <w:r>
        <w:rPr>
          <w:sz w:val="24"/>
          <w:szCs w:val="24"/>
        </w:rPr>
        <w:t>Colorado Poverty Law Project</w:t>
      </w:r>
    </w:p>
    <w:p w14:paraId="6A7C7DC3" w14:textId="2FEB17A4" w:rsidR="00C870E5" w:rsidRDefault="00C870E5" w:rsidP="00C870E5">
      <w:pPr>
        <w:rPr>
          <w:sz w:val="24"/>
          <w:szCs w:val="24"/>
        </w:rPr>
      </w:pPr>
      <w:r>
        <w:rPr>
          <w:sz w:val="24"/>
          <w:szCs w:val="24"/>
        </w:rPr>
        <w:t>Enterprise Community Partners</w:t>
      </w:r>
    </w:p>
    <w:p w14:paraId="68F6BFA7" w14:textId="24A8654C" w:rsidR="00C870E5" w:rsidRDefault="00C870E5" w:rsidP="00C870E5">
      <w:pPr>
        <w:rPr>
          <w:sz w:val="24"/>
          <w:szCs w:val="24"/>
        </w:rPr>
      </w:pPr>
      <w:r>
        <w:rPr>
          <w:sz w:val="24"/>
          <w:szCs w:val="24"/>
        </w:rPr>
        <w:t>Lutheran Advocacy Ministry Colorado</w:t>
      </w:r>
    </w:p>
    <w:p w14:paraId="32E9078E" w14:textId="77777777" w:rsidR="00C870E5" w:rsidRDefault="00C870E5" w:rsidP="00C870E5">
      <w:pPr>
        <w:rPr>
          <w:sz w:val="24"/>
          <w:szCs w:val="24"/>
        </w:rPr>
      </w:pPr>
    </w:p>
    <w:p w14:paraId="01A1AC3C" w14:textId="77777777" w:rsidR="00C870E5" w:rsidRDefault="00C870E5" w:rsidP="00C870E5">
      <w:pPr>
        <w:jc w:val="center"/>
        <w:rPr>
          <w:sz w:val="24"/>
          <w:szCs w:val="24"/>
        </w:rPr>
      </w:pPr>
    </w:p>
    <w:p w14:paraId="4BB076AF" w14:textId="77777777" w:rsidR="0021703D" w:rsidRDefault="004536D4">
      <w:pPr>
        <w:rPr>
          <w:sz w:val="24"/>
          <w:szCs w:val="24"/>
        </w:rPr>
      </w:pPr>
      <w:r>
        <w:rPr>
          <w:sz w:val="24"/>
          <w:szCs w:val="24"/>
        </w:rPr>
        <w:tab/>
      </w:r>
    </w:p>
    <w:p w14:paraId="4BC5F11D" w14:textId="77777777" w:rsidR="0021703D" w:rsidRDefault="0021703D">
      <w:pPr>
        <w:rPr>
          <w:b/>
          <w:sz w:val="24"/>
          <w:szCs w:val="24"/>
        </w:rPr>
      </w:pPr>
    </w:p>
    <w:p w14:paraId="03BFC1B3" w14:textId="77777777" w:rsidR="0021703D" w:rsidRDefault="0021703D">
      <w:pPr>
        <w:rPr>
          <w:b/>
          <w:sz w:val="24"/>
          <w:szCs w:val="24"/>
        </w:rPr>
      </w:pPr>
    </w:p>
    <w:p w14:paraId="58CCAEC2" w14:textId="7764BD1A" w:rsidR="0021703D" w:rsidRDefault="0021703D">
      <w:pPr>
        <w:jc w:val="center"/>
        <w:rPr>
          <w:sz w:val="20"/>
          <w:szCs w:val="20"/>
        </w:rPr>
      </w:pPr>
    </w:p>
    <w:sectPr w:rsidR="0021703D">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4D1BF" w14:textId="77777777" w:rsidR="00220779" w:rsidRDefault="00220779">
      <w:pPr>
        <w:spacing w:line="240" w:lineRule="auto"/>
      </w:pPr>
      <w:r>
        <w:separator/>
      </w:r>
    </w:p>
  </w:endnote>
  <w:endnote w:type="continuationSeparator" w:id="0">
    <w:p w14:paraId="43352D4F" w14:textId="77777777" w:rsidR="00220779" w:rsidRDefault="002207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4ADD" w14:textId="77777777" w:rsidR="001A776A" w:rsidRDefault="001A776A" w:rsidP="001A776A">
    <w:pPr>
      <w:rPr>
        <w:b/>
        <w:sz w:val="24"/>
        <w:szCs w:val="24"/>
      </w:rPr>
    </w:pPr>
  </w:p>
  <w:p w14:paraId="0206E419" w14:textId="77777777" w:rsidR="001A776A" w:rsidRDefault="001A776A" w:rsidP="001A776A">
    <w:pPr>
      <w:jc w:val="center"/>
      <w:rPr>
        <w:b/>
        <w:sz w:val="20"/>
        <w:szCs w:val="20"/>
      </w:rPr>
    </w:pPr>
    <w:r>
      <w:rPr>
        <w:b/>
        <w:sz w:val="20"/>
        <w:szCs w:val="20"/>
      </w:rPr>
      <w:t>FOR MORE INFORMATION</w:t>
    </w:r>
  </w:p>
  <w:p w14:paraId="05642C72" w14:textId="2826EBC2" w:rsidR="001A776A" w:rsidRPr="001A776A" w:rsidRDefault="001A776A" w:rsidP="001A776A">
    <w:pPr>
      <w:jc w:val="center"/>
      <w:rPr>
        <w:sz w:val="20"/>
        <w:szCs w:val="20"/>
      </w:rPr>
    </w:pPr>
    <w:r>
      <w:rPr>
        <w:sz w:val="20"/>
        <w:szCs w:val="20"/>
      </w:rPr>
      <w:t xml:space="preserve">Please contact Jack </w:t>
    </w:r>
    <w:proofErr w:type="spellStart"/>
    <w:r>
      <w:rPr>
        <w:sz w:val="20"/>
        <w:szCs w:val="20"/>
      </w:rPr>
      <w:t>Regenbogen</w:t>
    </w:r>
    <w:proofErr w:type="spellEnd"/>
    <w:r>
      <w:rPr>
        <w:sz w:val="20"/>
        <w:szCs w:val="20"/>
      </w:rPr>
      <w:t xml:space="preserve">, Esq. at </w:t>
    </w:r>
    <w:hyperlink r:id="rId1">
      <w:r>
        <w:rPr>
          <w:color w:val="1155CC"/>
          <w:sz w:val="20"/>
          <w:szCs w:val="20"/>
          <w:u w:val="single"/>
        </w:rPr>
        <w:t>jack@copovertylawproject.org</w:t>
      </w:r>
    </w:hyperlink>
    <w:r>
      <w:rPr>
        <w:sz w:val="20"/>
        <w:szCs w:val="20"/>
      </w:rPr>
      <w:t xml:space="preserve"> or (314) 479-1617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C5A95" w14:textId="77777777" w:rsidR="00220779" w:rsidRDefault="00220779">
      <w:pPr>
        <w:spacing w:line="240" w:lineRule="auto"/>
      </w:pPr>
      <w:r>
        <w:separator/>
      </w:r>
    </w:p>
  </w:footnote>
  <w:footnote w:type="continuationSeparator" w:id="0">
    <w:p w14:paraId="51B8308A" w14:textId="77777777" w:rsidR="00220779" w:rsidRDefault="002207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D124D" w14:textId="03848469" w:rsidR="0021703D" w:rsidRDefault="004536D4">
    <w:pPr>
      <w:rPr>
        <w:b/>
        <w:sz w:val="24"/>
        <w:szCs w:val="24"/>
      </w:rPr>
    </w:pPr>
    <w:r>
      <w:rPr>
        <w:noProof/>
      </w:rPr>
      <w:drawing>
        <wp:inline distT="114300" distB="114300" distL="114300" distR="114300" wp14:anchorId="4CEE2631" wp14:editId="673C0E2C">
          <wp:extent cx="951706" cy="8905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51706" cy="890588"/>
                  </a:xfrm>
                  <a:prstGeom prst="rect">
                    <a:avLst/>
                  </a:prstGeom>
                  <a:ln/>
                </pic:spPr>
              </pic:pic>
            </a:graphicData>
          </a:graphic>
        </wp:inline>
      </w:drawing>
    </w:r>
    <w:r w:rsidR="00DC6F1B">
      <w:rPr>
        <w:b/>
        <w:sz w:val="24"/>
        <w:szCs w:val="24"/>
      </w:rPr>
      <w:t xml:space="preserve"> </w:t>
    </w:r>
    <w:r w:rsidR="00DC6F1B">
      <w:rPr>
        <w:b/>
        <w:sz w:val="24"/>
        <w:szCs w:val="24"/>
      </w:rPr>
      <w:tab/>
    </w:r>
    <w:r w:rsidR="00DC6F1B">
      <w:rPr>
        <w:b/>
        <w:sz w:val="24"/>
        <w:szCs w:val="24"/>
      </w:rPr>
      <w:tab/>
    </w:r>
    <w:r w:rsidR="00DC6F1B">
      <w:rPr>
        <w:b/>
        <w:sz w:val="24"/>
        <w:szCs w:val="24"/>
      </w:rPr>
      <w:tab/>
    </w:r>
    <w:r w:rsidR="00DC6F1B">
      <w:rPr>
        <w:b/>
        <w:sz w:val="24"/>
        <w:szCs w:val="24"/>
      </w:rPr>
      <w:tab/>
    </w:r>
    <w:r w:rsidR="00DC6F1B">
      <w:rPr>
        <w:b/>
        <w:sz w:val="24"/>
        <w:szCs w:val="24"/>
      </w:rPr>
      <w:tab/>
    </w:r>
    <w:r w:rsidR="00DC6F1B">
      <w:rPr>
        <w:b/>
        <w:sz w:val="24"/>
        <w:szCs w:val="24"/>
      </w:rPr>
      <w:tab/>
    </w:r>
    <w:r w:rsidR="00DC6F1B">
      <w:rPr>
        <w:b/>
        <w:sz w:val="24"/>
        <w:szCs w:val="24"/>
      </w:rPr>
      <w:tab/>
    </w:r>
    <w:r w:rsidR="00DC6F1B">
      <w:rPr>
        <w:b/>
        <w:sz w:val="24"/>
        <w:szCs w:val="24"/>
      </w:rPr>
      <w:tab/>
      <w:t xml:space="preserve">    </w:t>
    </w:r>
    <w:r w:rsidR="00DC6F1B" w:rsidRPr="00FD64D2">
      <w:rPr>
        <w:rFonts w:cs="Times New Roman"/>
        <w:b/>
        <w:noProof/>
      </w:rPr>
      <w:drawing>
        <wp:inline distT="0" distB="0" distL="0" distR="0" wp14:anchorId="571E5624" wp14:editId="6816084E">
          <wp:extent cx="1105786" cy="837933"/>
          <wp:effectExtent l="0" t="0" r="0" b="635"/>
          <wp:docPr id="2" name="Picture 2" descr="C:\Users\mabrj01\AppData\Local\Microsoft\Windows\INetCache\Content.MSO\61641AA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brj01\AppData\Local\Microsoft\Windows\INetCache\Content.MSO\61641AAB.t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76790" cy="891738"/>
                  </a:xfrm>
                  <a:prstGeom prst="rect">
                    <a:avLst/>
                  </a:prstGeom>
                  <a:noFill/>
                  <a:ln>
                    <a:noFill/>
                  </a:ln>
                </pic:spPr>
              </pic:pic>
            </a:graphicData>
          </a:graphic>
        </wp:inline>
      </w:drawing>
    </w:r>
  </w:p>
  <w:p w14:paraId="4883C08E" w14:textId="77777777" w:rsidR="0021703D" w:rsidRDefault="002170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71FA7"/>
    <w:multiLevelType w:val="multilevel"/>
    <w:tmpl w:val="FE2A1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03D"/>
    <w:rsid w:val="00047E89"/>
    <w:rsid w:val="000F772E"/>
    <w:rsid w:val="001A776A"/>
    <w:rsid w:val="0021703D"/>
    <w:rsid w:val="00220779"/>
    <w:rsid w:val="0025193E"/>
    <w:rsid w:val="0027532D"/>
    <w:rsid w:val="00287FBC"/>
    <w:rsid w:val="002B5C88"/>
    <w:rsid w:val="004536D4"/>
    <w:rsid w:val="0050266E"/>
    <w:rsid w:val="005E0677"/>
    <w:rsid w:val="006654A6"/>
    <w:rsid w:val="00734E34"/>
    <w:rsid w:val="00777C2E"/>
    <w:rsid w:val="00A327CD"/>
    <w:rsid w:val="00BB1863"/>
    <w:rsid w:val="00BB40F5"/>
    <w:rsid w:val="00C870E5"/>
    <w:rsid w:val="00DC6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64976E"/>
  <w15:docId w15:val="{931983B1-CA8B-9A42-B70A-52A47712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A776A"/>
    <w:pPr>
      <w:tabs>
        <w:tab w:val="center" w:pos="4680"/>
        <w:tab w:val="right" w:pos="9360"/>
      </w:tabs>
      <w:spacing w:line="240" w:lineRule="auto"/>
    </w:pPr>
  </w:style>
  <w:style w:type="character" w:customStyle="1" w:styleId="HeaderChar">
    <w:name w:val="Header Char"/>
    <w:basedOn w:val="DefaultParagraphFont"/>
    <w:link w:val="Header"/>
    <w:uiPriority w:val="99"/>
    <w:rsid w:val="001A776A"/>
  </w:style>
  <w:style w:type="paragraph" w:styleId="Footer">
    <w:name w:val="footer"/>
    <w:basedOn w:val="Normal"/>
    <w:link w:val="FooterChar"/>
    <w:uiPriority w:val="99"/>
    <w:unhideWhenUsed/>
    <w:rsid w:val="001A776A"/>
    <w:pPr>
      <w:tabs>
        <w:tab w:val="center" w:pos="4680"/>
        <w:tab w:val="right" w:pos="9360"/>
      </w:tabs>
      <w:spacing w:line="240" w:lineRule="auto"/>
    </w:pPr>
  </w:style>
  <w:style w:type="character" w:customStyle="1" w:styleId="FooterChar">
    <w:name w:val="Footer Char"/>
    <w:basedOn w:val="DefaultParagraphFont"/>
    <w:link w:val="Footer"/>
    <w:uiPriority w:val="99"/>
    <w:rsid w:val="001A7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g.colorado.gov/bills/hb20-10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jack@copovertylawprojec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Jack Regenbogen</cp:lastModifiedBy>
  <cp:revision>4</cp:revision>
  <dcterms:created xsi:type="dcterms:W3CDTF">2022-01-14T20:05:00Z</dcterms:created>
  <dcterms:modified xsi:type="dcterms:W3CDTF">2022-01-20T20:45:00Z</dcterms:modified>
</cp:coreProperties>
</file>